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8BFCE" w14:textId="29C3D788" w:rsidR="002401E3" w:rsidRPr="00083857" w:rsidRDefault="002401E3" w:rsidP="002401E3">
      <w:pPr>
        <w:pStyle w:val="Footer"/>
        <w:rPr>
          <w:rFonts w:ascii="Times New Roman" w:hAnsi="Times New Roman" w:cs="Times New Roman"/>
          <w:bCs/>
          <w:sz w:val="24"/>
          <w:szCs w:val="24"/>
        </w:rPr>
      </w:pPr>
      <w:r w:rsidRPr="00083857">
        <w:rPr>
          <w:rFonts w:ascii="Times New Roman" w:hAnsi="Times New Roman" w:cs="Times New Roman"/>
          <w:bCs/>
          <w:sz w:val="24"/>
          <w:szCs w:val="24"/>
        </w:rPr>
        <w:t xml:space="preserve">Issue: What can be included in a QDRO if the Stipulation or Order states only, “Pension shall be divided 50% pursuant to </w:t>
      </w:r>
      <w:proofErr w:type="spellStart"/>
      <w:r w:rsidRPr="00083857">
        <w:rPr>
          <w:rFonts w:ascii="Times New Roman" w:hAnsi="Times New Roman" w:cs="Times New Roman"/>
          <w:bCs/>
          <w:i/>
          <w:sz w:val="24"/>
          <w:szCs w:val="24"/>
        </w:rPr>
        <w:t>Majauskas</w:t>
      </w:r>
      <w:proofErr w:type="spellEnd"/>
      <w:r w:rsidRPr="00083857">
        <w:rPr>
          <w:rFonts w:ascii="Times New Roman" w:hAnsi="Times New Roman" w:cs="Times New Roman"/>
          <w:bCs/>
          <w:sz w:val="24"/>
          <w:szCs w:val="24"/>
        </w:rPr>
        <w:t>”?</w:t>
      </w:r>
    </w:p>
    <w:p w14:paraId="3A0FD9F1" w14:textId="77777777" w:rsidR="002401E3" w:rsidRDefault="002401E3" w:rsidP="00B50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0D1A019" w14:textId="2254B5BF" w:rsidR="00DC2B25" w:rsidRPr="00083857" w:rsidRDefault="00083857" w:rsidP="00083857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83857">
        <w:rPr>
          <w:rFonts w:ascii="Times New Roman" w:hAnsi="Times New Roman" w:cs="Times New Roman"/>
          <w:sz w:val="24"/>
          <w:szCs w:val="24"/>
        </w:rPr>
        <w:t xml:space="preserve">Implied Provisions That May Be Included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83857">
        <w:rPr>
          <w:rFonts w:ascii="Times New Roman" w:hAnsi="Times New Roman" w:cs="Times New Roman"/>
          <w:sz w:val="24"/>
          <w:szCs w:val="24"/>
        </w:rPr>
        <w:t>n Q</w:t>
      </w:r>
      <w:r>
        <w:rPr>
          <w:rFonts w:ascii="Times New Roman" w:hAnsi="Times New Roman" w:cs="Times New Roman"/>
          <w:sz w:val="24"/>
          <w:szCs w:val="24"/>
        </w:rPr>
        <w:t>DRO</w:t>
      </w:r>
      <w:r w:rsidRPr="00083857">
        <w:rPr>
          <w:rFonts w:ascii="Times New Roman" w:hAnsi="Times New Roman" w:cs="Times New Roman"/>
          <w:sz w:val="24"/>
          <w:szCs w:val="24"/>
        </w:rPr>
        <w:t xml:space="preserve"> Even </w:t>
      </w:r>
      <w:r>
        <w:rPr>
          <w:rFonts w:ascii="Times New Roman" w:hAnsi="Times New Roman" w:cs="Times New Roman"/>
          <w:sz w:val="24"/>
          <w:szCs w:val="24"/>
        </w:rPr>
        <w:t>If</w:t>
      </w:r>
      <w:r w:rsidRPr="00083857">
        <w:rPr>
          <w:rFonts w:ascii="Times New Roman" w:hAnsi="Times New Roman" w:cs="Times New Roman"/>
          <w:sz w:val="24"/>
          <w:szCs w:val="24"/>
        </w:rPr>
        <w:t xml:space="preserve"> Not Explicitly Awarded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83857">
        <w:rPr>
          <w:rFonts w:ascii="Times New Roman" w:hAnsi="Times New Roman" w:cs="Times New Roman"/>
          <w:sz w:val="24"/>
          <w:szCs w:val="24"/>
        </w:rPr>
        <w:t xml:space="preserve">n Stipulation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83857">
        <w:rPr>
          <w:rFonts w:ascii="Times New Roman" w:hAnsi="Times New Roman" w:cs="Times New Roman"/>
          <w:sz w:val="24"/>
          <w:szCs w:val="24"/>
        </w:rPr>
        <w:t>r Order</w:t>
      </w:r>
    </w:p>
    <w:p w14:paraId="24F798EE" w14:textId="77777777" w:rsidR="00B507F9" w:rsidRPr="003E2766" w:rsidRDefault="00B507F9" w:rsidP="00B507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9B29EA1" w14:textId="77777777" w:rsidR="001E3B2C" w:rsidRPr="003E2766" w:rsidRDefault="00CC3536" w:rsidP="008E201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E2766">
        <w:rPr>
          <w:rFonts w:ascii="Times New Roman" w:hAnsi="Times New Roman" w:cs="Times New Roman"/>
          <w:sz w:val="24"/>
          <w:szCs w:val="24"/>
          <w:u w:val="single"/>
        </w:rPr>
        <w:t>General Rule:</w:t>
      </w:r>
      <w:r w:rsidRPr="003E2766">
        <w:rPr>
          <w:rFonts w:ascii="Times New Roman" w:hAnsi="Times New Roman" w:cs="Times New Roman"/>
          <w:sz w:val="24"/>
          <w:szCs w:val="24"/>
        </w:rPr>
        <w:t xml:space="preserve"> </w:t>
      </w:r>
      <w:r w:rsidR="001E3B2C" w:rsidRPr="003E2766">
        <w:rPr>
          <w:rFonts w:ascii="Times New Roman" w:hAnsi="Times New Roman" w:cs="Times New Roman"/>
          <w:sz w:val="24"/>
          <w:szCs w:val="24"/>
        </w:rPr>
        <w:t>AP is entitled to a share of the pension as it is “ultimately determined”</w:t>
      </w:r>
      <w:r w:rsidR="00155987" w:rsidRPr="003E2766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647C5ADB" w14:textId="77777777" w:rsidR="00D00E6C" w:rsidRPr="003E2766" w:rsidRDefault="00D00E6C" w:rsidP="003E27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2766">
        <w:rPr>
          <w:rFonts w:ascii="Times New Roman" w:hAnsi="Times New Roman" w:cs="Times New Roman"/>
          <w:sz w:val="24"/>
          <w:szCs w:val="24"/>
        </w:rPr>
        <w:t xml:space="preserve">Cost-of-Living Adjustments, improvements, and </w:t>
      </w:r>
      <w:r w:rsidRPr="008E2011">
        <w:rPr>
          <w:rFonts w:ascii="Times New Roman" w:hAnsi="Times New Roman" w:cs="Times New Roman"/>
          <w:i/>
          <w:iCs/>
          <w:sz w:val="24"/>
          <w:szCs w:val="24"/>
        </w:rPr>
        <w:t>ad hoc</w:t>
      </w:r>
      <w:r w:rsidRPr="003E2766">
        <w:rPr>
          <w:rFonts w:ascii="Times New Roman" w:hAnsi="Times New Roman" w:cs="Times New Roman"/>
          <w:sz w:val="24"/>
          <w:szCs w:val="24"/>
        </w:rPr>
        <w:t xml:space="preserve"> changes; Variable Supplement Funds</w:t>
      </w:r>
      <w:r w:rsidR="00FD7157" w:rsidRPr="003E2766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11B671A2" w14:textId="77777777" w:rsidR="003E2766" w:rsidRDefault="003E2766" w:rsidP="003E276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F3200D0" w14:textId="77777777" w:rsidR="00D00E6C" w:rsidRPr="003E2766" w:rsidRDefault="00D00E6C" w:rsidP="003E27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2766">
        <w:rPr>
          <w:rFonts w:ascii="Times New Roman" w:hAnsi="Times New Roman" w:cs="Times New Roman"/>
          <w:sz w:val="24"/>
          <w:szCs w:val="24"/>
        </w:rPr>
        <w:t>Payment of Arrears</w:t>
      </w:r>
      <w:r w:rsidR="00FD7157" w:rsidRPr="003E2766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</w:p>
    <w:p w14:paraId="5C55DE70" w14:textId="77777777" w:rsidR="003E2766" w:rsidRDefault="003E2766" w:rsidP="003E276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5435556" w14:textId="26DAE8EB" w:rsidR="00B507F9" w:rsidRPr="00B507F9" w:rsidRDefault="00D00E6C" w:rsidP="00B507F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07F9">
        <w:rPr>
          <w:rFonts w:ascii="Times New Roman" w:hAnsi="Times New Roman" w:cs="Times New Roman"/>
          <w:sz w:val="24"/>
          <w:szCs w:val="24"/>
        </w:rPr>
        <w:t xml:space="preserve">AP’s share </w:t>
      </w:r>
      <w:r w:rsidR="00713FB5" w:rsidRPr="00B507F9">
        <w:rPr>
          <w:rFonts w:ascii="Times New Roman" w:hAnsi="Times New Roman" w:cs="Times New Roman"/>
          <w:sz w:val="24"/>
          <w:szCs w:val="24"/>
        </w:rPr>
        <w:t xml:space="preserve">is not reduced </w:t>
      </w:r>
      <w:r w:rsidR="001E3B2C" w:rsidRPr="00B507F9">
        <w:rPr>
          <w:rFonts w:ascii="Times New Roman" w:hAnsi="Times New Roman" w:cs="Times New Roman"/>
          <w:sz w:val="24"/>
          <w:szCs w:val="24"/>
        </w:rPr>
        <w:t>for</w:t>
      </w:r>
      <w:r w:rsidRPr="00B507F9">
        <w:rPr>
          <w:rFonts w:ascii="Times New Roman" w:hAnsi="Times New Roman" w:cs="Times New Roman"/>
          <w:sz w:val="24"/>
          <w:szCs w:val="24"/>
        </w:rPr>
        <w:t xml:space="preserve"> any outstanding loan taken out by P</w:t>
      </w:r>
      <w:r w:rsidR="00282D92">
        <w:rPr>
          <w:rFonts w:ascii="Times New Roman" w:hAnsi="Times New Roman" w:cs="Times New Roman"/>
          <w:sz w:val="24"/>
          <w:szCs w:val="24"/>
        </w:rPr>
        <w:t xml:space="preserve"> (if loan was not for mutual benefit of the parties)</w:t>
      </w:r>
      <w:r w:rsidR="00713FB5" w:rsidRPr="003E2766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</w:p>
    <w:p w14:paraId="1980DF4B" w14:textId="77777777" w:rsidR="00CD1691" w:rsidRDefault="00CD1691" w:rsidP="00CD16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CF5E52C" w14:textId="7AF006AA" w:rsidR="00D00E6C" w:rsidRPr="00CD1691" w:rsidRDefault="00083857" w:rsidP="00CD1691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D1691">
        <w:rPr>
          <w:rFonts w:ascii="Times New Roman" w:hAnsi="Times New Roman" w:cs="Times New Roman"/>
          <w:sz w:val="24"/>
          <w:szCs w:val="24"/>
        </w:rPr>
        <w:t xml:space="preserve">Provisions That Must Be Explicitly Awarded </w:t>
      </w:r>
      <w:r w:rsidR="00CD1691">
        <w:rPr>
          <w:rFonts w:ascii="Times New Roman" w:hAnsi="Times New Roman" w:cs="Times New Roman"/>
          <w:sz w:val="24"/>
          <w:szCs w:val="24"/>
        </w:rPr>
        <w:t>i</w:t>
      </w:r>
      <w:r w:rsidRPr="00CD1691">
        <w:rPr>
          <w:rFonts w:ascii="Times New Roman" w:hAnsi="Times New Roman" w:cs="Times New Roman"/>
          <w:sz w:val="24"/>
          <w:szCs w:val="24"/>
        </w:rPr>
        <w:t xml:space="preserve">n Stipulation </w:t>
      </w:r>
      <w:r w:rsidR="00CD1691">
        <w:rPr>
          <w:rFonts w:ascii="Times New Roman" w:hAnsi="Times New Roman" w:cs="Times New Roman"/>
          <w:sz w:val="24"/>
          <w:szCs w:val="24"/>
        </w:rPr>
        <w:t>o</w:t>
      </w:r>
      <w:r w:rsidRPr="00CD1691">
        <w:rPr>
          <w:rFonts w:ascii="Times New Roman" w:hAnsi="Times New Roman" w:cs="Times New Roman"/>
          <w:sz w:val="24"/>
          <w:szCs w:val="24"/>
        </w:rPr>
        <w:t xml:space="preserve">r Order </w:t>
      </w:r>
      <w:r w:rsidR="00CD1691">
        <w:rPr>
          <w:rFonts w:ascii="Times New Roman" w:hAnsi="Times New Roman" w:cs="Times New Roman"/>
          <w:sz w:val="24"/>
          <w:szCs w:val="24"/>
        </w:rPr>
        <w:t>t</w:t>
      </w:r>
      <w:r w:rsidRPr="00CD1691">
        <w:rPr>
          <w:rFonts w:ascii="Times New Roman" w:hAnsi="Times New Roman" w:cs="Times New Roman"/>
          <w:sz w:val="24"/>
          <w:szCs w:val="24"/>
        </w:rPr>
        <w:t xml:space="preserve">o Be Included </w:t>
      </w:r>
      <w:r w:rsidR="00CD1691">
        <w:rPr>
          <w:rFonts w:ascii="Times New Roman" w:hAnsi="Times New Roman" w:cs="Times New Roman"/>
          <w:sz w:val="24"/>
          <w:szCs w:val="24"/>
        </w:rPr>
        <w:t>i</w:t>
      </w:r>
      <w:r w:rsidRPr="00CD1691">
        <w:rPr>
          <w:rFonts w:ascii="Times New Roman" w:hAnsi="Times New Roman" w:cs="Times New Roman"/>
          <w:sz w:val="24"/>
          <w:szCs w:val="24"/>
        </w:rPr>
        <w:t>n Q</w:t>
      </w:r>
      <w:r w:rsidR="00CD1691">
        <w:rPr>
          <w:rFonts w:ascii="Times New Roman" w:hAnsi="Times New Roman" w:cs="Times New Roman"/>
          <w:sz w:val="24"/>
          <w:szCs w:val="24"/>
        </w:rPr>
        <w:t>DRO</w:t>
      </w:r>
    </w:p>
    <w:p w14:paraId="3065B0E9" w14:textId="77777777" w:rsidR="00CC3536" w:rsidRPr="003E2766" w:rsidRDefault="00CC3536" w:rsidP="00CC3536">
      <w:pPr>
        <w:spacing w:after="0" w:line="240" w:lineRule="auto"/>
        <w:jc w:val="center"/>
        <w:rPr>
          <w:rStyle w:val="EndnoteReference"/>
          <w:rFonts w:ascii="Times New Roman" w:hAnsi="Times New Roman" w:cs="Times New Roman"/>
          <w:sz w:val="24"/>
          <w:szCs w:val="24"/>
          <w:u w:val="single"/>
        </w:rPr>
      </w:pPr>
    </w:p>
    <w:p w14:paraId="4840B216" w14:textId="77777777" w:rsidR="001E3B2C" w:rsidRPr="003E2766" w:rsidRDefault="004B3519" w:rsidP="008E2011">
      <w:pPr>
        <w:ind w:left="360"/>
        <w:rPr>
          <w:rFonts w:ascii="Times New Roman" w:hAnsi="Times New Roman" w:cs="Times New Roman"/>
          <w:sz w:val="24"/>
          <w:szCs w:val="24"/>
        </w:rPr>
      </w:pPr>
      <w:r w:rsidRPr="003E2766">
        <w:rPr>
          <w:rFonts w:ascii="Times New Roman" w:hAnsi="Times New Roman" w:cs="Times New Roman"/>
          <w:sz w:val="24"/>
          <w:szCs w:val="24"/>
          <w:u w:val="single"/>
        </w:rPr>
        <w:t>General Rule:</w:t>
      </w:r>
      <w:r w:rsidRPr="003E2766">
        <w:rPr>
          <w:rFonts w:ascii="Times New Roman" w:hAnsi="Times New Roman" w:cs="Times New Roman"/>
          <w:sz w:val="24"/>
          <w:szCs w:val="24"/>
        </w:rPr>
        <w:t xml:space="preserve"> </w:t>
      </w:r>
      <w:r w:rsidR="001E3B2C" w:rsidRPr="003E2766">
        <w:rPr>
          <w:rFonts w:ascii="Times New Roman" w:hAnsi="Times New Roman" w:cs="Times New Roman"/>
          <w:sz w:val="24"/>
          <w:szCs w:val="24"/>
        </w:rPr>
        <w:t>QDRO may provide only what is agreed by the parties or ordered by the court</w:t>
      </w:r>
      <w:r w:rsidR="00713FB5" w:rsidRPr="003E2766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</w:p>
    <w:p w14:paraId="74FCCEDB" w14:textId="77777777" w:rsidR="001E3B2C" w:rsidRDefault="001E3B2C" w:rsidP="003E27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E2766">
        <w:rPr>
          <w:rFonts w:ascii="Times New Roman" w:hAnsi="Times New Roman" w:cs="Times New Roman"/>
          <w:sz w:val="24"/>
          <w:szCs w:val="24"/>
        </w:rPr>
        <w:t>Death benefits and survivor annuities</w:t>
      </w:r>
      <w:r w:rsidR="00713FB5" w:rsidRPr="003E2766"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</w:p>
    <w:p w14:paraId="219891BC" w14:textId="77777777" w:rsidR="003E2766" w:rsidRPr="003E2766" w:rsidRDefault="003E2766" w:rsidP="003E276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51B9B9B" w14:textId="77777777" w:rsidR="001E3B2C" w:rsidRDefault="001E3B2C" w:rsidP="003E27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E2766">
        <w:rPr>
          <w:rFonts w:ascii="Times New Roman" w:hAnsi="Times New Roman" w:cs="Times New Roman"/>
          <w:sz w:val="24"/>
          <w:szCs w:val="24"/>
        </w:rPr>
        <w:t>Separate Interest QDRO</w:t>
      </w:r>
      <w:r w:rsidR="00CC3536" w:rsidRPr="003E2766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</w:p>
    <w:p w14:paraId="3F2D7FFF" w14:textId="77777777" w:rsidR="003E2766" w:rsidRPr="003E2766" w:rsidRDefault="003E2766" w:rsidP="003E276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F9428AF" w14:textId="77777777" w:rsidR="001E3B2C" w:rsidRDefault="001E3B2C" w:rsidP="003E27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E2766">
        <w:rPr>
          <w:rFonts w:ascii="Times New Roman" w:hAnsi="Times New Roman" w:cs="Times New Roman"/>
          <w:i/>
          <w:sz w:val="24"/>
          <w:szCs w:val="24"/>
        </w:rPr>
        <w:t>Pro rata</w:t>
      </w:r>
      <w:r w:rsidRPr="003E27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2766">
        <w:rPr>
          <w:rFonts w:ascii="Times New Roman" w:hAnsi="Times New Roman" w:cs="Times New Roman"/>
          <w:sz w:val="24"/>
          <w:szCs w:val="24"/>
        </w:rPr>
        <w:t>share</w:t>
      </w:r>
      <w:proofErr w:type="gramEnd"/>
      <w:r w:rsidRPr="003E2766">
        <w:rPr>
          <w:rFonts w:ascii="Times New Roman" w:hAnsi="Times New Roman" w:cs="Times New Roman"/>
          <w:sz w:val="24"/>
          <w:szCs w:val="24"/>
        </w:rPr>
        <w:t xml:space="preserve"> of refund of P’s contributions</w:t>
      </w:r>
      <w:r w:rsidR="00CC3536" w:rsidRPr="003E2766">
        <w:rPr>
          <w:rStyle w:val="FootnoteReference"/>
          <w:rFonts w:ascii="Times New Roman" w:hAnsi="Times New Roman" w:cs="Times New Roman"/>
          <w:sz w:val="24"/>
          <w:szCs w:val="24"/>
        </w:rPr>
        <w:footnoteReference w:id="8"/>
      </w:r>
    </w:p>
    <w:p w14:paraId="01E9B39F" w14:textId="77777777" w:rsidR="003E2766" w:rsidRPr="003E2766" w:rsidRDefault="003E2766" w:rsidP="003E276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D9C7967" w14:textId="151AC434" w:rsidR="001E3B2C" w:rsidRDefault="000D4A23" w:rsidP="003E27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reduction in </w:t>
      </w:r>
      <w:r w:rsidR="001E3B2C" w:rsidRPr="003E2766">
        <w:rPr>
          <w:rFonts w:ascii="Times New Roman" w:hAnsi="Times New Roman" w:cs="Times New Roman"/>
          <w:sz w:val="24"/>
          <w:szCs w:val="24"/>
        </w:rPr>
        <w:t>AP’s share for any option selected by P at retirement</w:t>
      </w:r>
      <w:r w:rsidR="00CC3536" w:rsidRPr="003E2766">
        <w:rPr>
          <w:rStyle w:val="FootnoteReference"/>
          <w:rFonts w:ascii="Times New Roman" w:hAnsi="Times New Roman" w:cs="Times New Roman"/>
          <w:sz w:val="24"/>
          <w:szCs w:val="24"/>
        </w:rPr>
        <w:footnoteReference w:id="9"/>
      </w:r>
    </w:p>
    <w:p w14:paraId="76EA6FC9" w14:textId="77777777" w:rsidR="009379C2" w:rsidRPr="009379C2" w:rsidRDefault="009379C2" w:rsidP="009379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ACF5D3F" w14:textId="30F19DD5" w:rsidR="009379C2" w:rsidRPr="003E2766" w:rsidRDefault="009379C2" w:rsidP="003E27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Interest, or investment earnings and losses</w:t>
      </w:r>
      <w:r w:rsidR="008E20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(DC Plans)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0"/>
      </w:r>
    </w:p>
    <w:sectPr w:rsidR="009379C2" w:rsidRPr="003E2766" w:rsidSect="00CD1691">
      <w:headerReference w:type="default" r:id="rId8"/>
      <w:footerReference w:type="default" r:id="rId9"/>
      <w:pgSz w:w="12240" w:h="15840"/>
      <w:pgMar w:top="1152" w:right="1440" w:bottom="144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3956" w14:textId="77777777" w:rsidR="008E0044" w:rsidRDefault="008E0044" w:rsidP="00D00E6C">
      <w:pPr>
        <w:spacing w:after="0" w:line="240" w:lineRule="auto"/>
      </w:pPr>
      <w:r>
        <w:separator/>
      </w:r>
    </w:p>
  </w:endnote>
  <w:endnote w:type="continuationSeparator" w:id="0">
    <w:p w14:paraId="30A6A0B7" w14:textId="77777777" w:rsidR="008E0044" w:rsidRDefault="008E0044" w:rsidP="00D0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64CF2" w14:textId="77777777" w:rsidR="00CD1691" w:rsidRDefault="00CD1691" w:rsidP="002401E3">
    <w:pPr>
      <w:pStyle w:val="Footer"/>
      <w:jc w:val="right"/>
      <w:rPr>
        <w:i/>
        <w:iCs/>
        <w:sz w:val="20"/>
        <w:szCs w:val="20"/>
      </w:rPr>
    </w:pPr>
  </w:p>
  <w:p w14:paraId="7C9B6FA0" w14:textId="10383A03" w:rsidR="002401E3" w:rsidRPr="002401E3" w:rsidRDefault="002401E3" w:rsidP="002401E3">
    <w:pPr>
      <w:pStyle w:val="Footer"/>
      <w:jc w:val="right"/>
      <w:rPr>
        <w:i/>
        <w:iCs/>
        <w:sz w:val="20"/>
        <w:szCs w:val="20"/>
      </w:rPr>
    </w:pPr>
    <w:r w:rsidRPr="002401E3">
      <w:rPr>
        <w:i/>
        <w:iCs/>
        <w:sz w:val="20"/>
        <w:szCs w:val="20"/>
      </w:rPr>
      <w:t>(</w:t>
    </w:r>
    <w:proofErr w:type="spellStart"/>
    <w:r w:rsidRPr="002401E3">
      <w:rPr>
        <w:i/>
        <w:iCs/>
        <w:sz w:val="20"/>
        <w:szCs w:val="20"/>
      </w:rPr>
      <w:t>Rev’d</w:t>
    </w:r>
    <w:proofErr w:type="spellEnd"/>
    <w:r w:rsidRPr="002401E3">
      <w:rPr>
        <w:i/>
        <w:iCs/>
        <w:sz w:val="20"/>
        <w:szCs w:val="20"/>
      </w:rPr>
      <w:t xml:space="preserve"> Sept. 22, 2022)</w:t>
    </w:r>
  </w:p>
  <w:p w14:paraId="26F1505B" w14:textId="320935C7" w:rsidR="002401E3" w:rsidRDefault="002401E3">
    <w:pPr>
      <w:pStyle w:val="Footer"/>
    </w:pPr>
  </w:p>
  <w:p w14:paraId="0C54C486" w14:textId="77777777" w:rsidR="002401E3" w:rsidRDefault="002401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8EAAB" w14:textId="77777777" w:rsidR="008E0044" w:rsidRDefault="008E0044" w:rsidP="00D00E6C">
      <w:pPr>
        <w:spacing w:after="0" w:line="240" w:lineRule="auto"/>
      </w:pPr>
      <w:r>
        <w:separator/>
      </w:r>
    </w:p>
  </w:footnote>
  <w:footnote w:type="continuationSeparator" w:id="0">
    <w:p w14:paraId="1140AFD5" w14:textId="77777777" w:rsidR="008E0044" w:rsidRDefault="008E0044" w:rsidP="00D00E6C">
      <w:pPr>
        <w:spacing w:after="0" w:line="240" w:lineRule="auto"/>
      </w:pPr>
      <w:r>
        <w:continuationSeparator/>
      </w:r>
    </w:p>
  </w:footnote>
  <w:footnote w:id="1">
    <w:p w14:paraId="1EA481D6" w14:textId="77777777" w:rsidR="00155987" w:rsidRPr="00CD1691" w:rsidRDefault="00155987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CD169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D1691">
        <w:rPr>
          <w:rFonts w:ascii="Times New Roman" w:hAnsi="Times New Roman" w:cs="Times New Roman"/>
          <w:sz w:val="22"/>
          <w:szCs w:val="22"/>
        </w:rPr>
        <w:t xml:space="preserve"> </w:t>
      </w:r>
      <w:r w:rsidRPr="00CD1691">
        <w:rPr>
          <w:rFonts w:ascii="Times New Roman" w:hAnsi="Times New Roman" w:cs="Times New Roman"/>
          <w:i/>
          <w:sz w:val="22"/>
          <w:szCs w:val="22"/>
        </w:rPr>
        <w:t>Olivo v. Olivo</w:t>
      </w:r>
      <w:r w:rsidRPr="00CD1691">
        <w:rPr>
          <w:rFonts w:ascii="Times New Roman" w:hAnsi="Times New Roman" w:cs="Times New Roman"/>
          <w:sz w:val="22"/>
          <w:szCs w:val="22"/>
        </w:rPr>
        <w:t>, 82 N.Y.2d 202, 624 N.E.2d 151, 604 N.Y.S.2d 23 (1993).</w:t>
      </w:r>
    </w:p>
  </w:footnote>
  <w:footnote w:id="2">
    <w:p w14:paraId="2815BB78" w14:textId="77777777" w:rsidR="00FD7157" w:rsidRPr="00CD1691" w:rsidRDefault="00FD7157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CD169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D1691">
        <w:rPr>
          <w:rFonts w:ascii="Times New Roman" w:hAnsi="Times New Roman" w:cs="Times New Roman"/>
          <w:sz w:val="22"/>
          <w:szCs w:val="22"/>
        </w:rPr>
        <w:t xml:space="preserve"> </w:t>
      </w:r>
      <w:r w:rsidRPr="00CD1691">
        <w:rPr>
          <w:rFonts w:ascii="Times New Roman" w:hAnsi="Times New Roman" w:cs="Times New Roman"/>
          <w:i/>
          <w:sz w:val="22"/>
          <w:szCs w:val="22"/>
        </w:rPr>
        <w:t>DeLuca v. DeLuca</w:t>
      </w:r>
      <w:r w:rsidRPr="00CD1691">
        <w:rPr>
          <w:rFonts w:ascii="Times New Roman" w:hAnsi="Times New Roman" w:cs="Times New Roman"/>
          <w:sz w:val="22"/>
          <w:szCs w:val="22"/>
        </w:rPr>
        <w:t xml:space="preserve">, 97 N.Y.2d 139, 762 N.E.2d 337, 736 N.Y.S.2d 651 (2001); </w:t>
      </w:r>
      <w:r w:rsidRPr="00CD1691">
        <w:rPr>
          <w:rFonts w:ascii="Times New Roman" w:hAnsi="Times New Roman" w:cs="Times New Roman"/>
          <w:i/>
          <w:sz w:val="22"/>
          <w:szCs w:val="22"/>
        </w:rPr>
        <w:t>Kraus v. Kraus</w:t>
      </w:r>
      <w:r w:rsidRPr="00CD1691">
        <w:rPr>
          <w:rFonts w:ascii="Times New Roman" w:hAnsi="Times New Roman" w:cs="Times New Roman"/>
          <w:sz w:val="22"/>
          <w:szCs w:val="22"/>
        </w:rPr>
        <w:t xml:space="preserve">, 131 A.D.3d 94, 14 N.Y.S.3d 55 (2d </w:t>
      </w:r>
      <w:proofErr w:type="spellStart"/>
      <w:r w:rsidRPr="00CD1691">
        <w:rPr>
          <w:rFonts w:ascii="Times New Roman" w:hAnsi="Times New Roman" w:cs="Times New Roman"/>
          <w:sz w:val="22"/>
          <w:szCs w:val="22"/>
        </w:rPr>
        <w:t>Dep’t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 xml:space="preserve"> 2015);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Luongo</w:t>
      </w:r>
      <w:proofErr w:type="spellEnd"/>
      <w:r w:rsidRPr="00CD1691">
        <w:rPr>
          <w:rFonts w:ascii="Times New Roman" w:hAnsi="Times New Roman" w:cs="Times New Roman"/>
          <w:i/>
          <w:sz w:val="22"/>
          <w:szCs w:val="22"/>
        </w:rPr>
        <w:t xml:space="preserve"> v.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Luongo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 xml:space="preserve">, 50 A.D.3d 858, 856 N.Y.S.2d 636 (2d Dep’t 2008); </w:t>
      </w:r>
      <w:r w:rsidRPr="00CD1691">
        <w:rPr>
          <w:rFonts w:ascii="Times New Roman" w:hAnsi="Times New Roman" w:cs="Times New Roman"/>
          <w:i/>
          <w:sz w:val="22"/>
          <w:szCs w:val="22"/>
        </w:rPr>
        <w:t>Pagliaro v. Pagliaro</w:t>
      </w:r>
      <w:r w:rsidRPr="00CD1691">
        <w:rPr>
          <w:rFonts w:ascii="Times New Roman" w:hAnsi="Times New Roman" w:cs="Times New Roman"/>
          <w:sz w:val="22"/>
          <w:szCs w:val="22"/>
        </w:rPr>
        <w:t>, 31 A.D.3d 728, 821 N.Y.S.2d 602 (2d Dep’t 2006).</w:t>
      </w:r>
    </w:p>
  </w:footnote>
  <w:footnote w:id="3">
    <w:p w14:paraId="64C5C46E" w14:textId="77777777" w:rsidR="00FD7157" w:rsidRPr="00CD1691" w:rsidRDefault="00FD7157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CD169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D1691">
        <w:rPr>
          <w:rFonts w:ascii="Times New Roman" w:hAnsi="Times New Roman" w:cs="Times New Roman"/>
          <w:sz w:val="22"/>
          <w:szCs w:val="22"/>
        </w:rPr>
        <w:t xml:space="preserve"> </w:t>
      </w:r>
      <w:r w:rsidRPr="00CD1691">
        <w:rPr>
          <w:rFonts w:ascii="Times New Roman" w:hAnsi="Times New Roman" w:cs="Times New Roman"/>
          <w:i/>
          <w:sz w:val="22"/>
          <w:szCs w:val="22"/>
        </w:rPr>
        <w:t>Boylan v. Dodge</w:t>
      </w:r>
      <w:r w:rsidRPr="00CD1691">
        <w:rPr>
          <w:rFonts w:ascii="Times New Roman" w:hAnsi="Times New Roman" w:cs="Times New Roman"/>
          <w:sz w:val="22"/>
          <w:szCs w:val="22"/>
        </w:rPr>
        <w:t xml:space="preserve">, 42 A.D.3d </w:t>
      </w:r>
      <w:r w:rsidR="00713FB5" w:rsidRPr="00CD1691">
        <w:rPr>
          <w:rFonts w:ascii="Times New Roman" w:hAnsi="Times New Roman" w:cs="Times New Roman"/>
          <w:sz w:val="22"/>
          <w:szCs w:val="22"/>
        </w:rPr>
        <w:t>632, 839 N.Y.S.2d 580 (3d Dep’t 2007).</w:t>
      </w:r>
    </w:p>
  </w:footnote>
  <w:footnote w:id="4">
    <w:p w14:paraId="120DA800" w14:textId="77777777" w:rsidR="00713FB5" w:rsidRPr="00CD1691" w:rsidRDefault="00713FB5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CD169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D1691">
        <w:rPr>
          <w:rFonts w:ascii="Times New Roman" w:hAnsi="Times New Roman" w:cs="Times New Roman"/>
          <w:sz w:val="22"/>
          <w:szCs w:val="22"/>
        </w:rPr>
        <w:t xml:space="preserve"> </w:t>
      </w:r>
      <w:r w:rsidRPr="00CD1691">
        <w:rPr>
          <w:rFonts w:ascii="Times New Roman" w:hAnsi="Times New Roman" w:cs="Times New Roman"/>
          <w:i/>
          <w:sz w:val="22"/>
          <w:szCs w:val="22"/>
        </w:rPr>
        <w:t>Kraus v. Kraus</w:t>
      </w:r>
      <w:r w:rsidRPr="00CD1691">
        <w:rPr>
          <w:rFonts w:ascii="Times New Roman" w:hAnsi="Times New Roman" w:cs="Times New Roman"/>
          <w:sz w:val="22"/>
          <w:szCs w:val="22"/>
        </w:rPr>
        <w:t>, 131 A.D.3d 94, 14 N.Y.S.3d 55 (2d Dep’t 2015).</w:t>
      </w:r>
    </w:p>
  </w:footnote>
  <w:footnote w:id="5">
    <w:p w14:paraId="30F2BB07" w14:textId="77777777" w:rsidR="00713FB5" w:rsidRPr="00CD1691" w:rsidRDefault="00713FB5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CD169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D1691">
        <w:rPr>
          <w:rFonts w:ascii="Times New Roman" w:hAnsi="Times New Roman" w:cs="Times New Roman"/>
          <w:sz w:val="22"/>
          <w:szCs w:val="22"/>
        </w:rPr>
        <w:t xml:space="preserve"> </w:t>
      </w:r>
      <w:r w:rsidRPr="00CD1691">
        <w:rPr>
          <w:rFonts w:ascii="Times New Roman" w:hAnsi="Times New Roman" w:cs="Times New Roman"/>
          <w:i/>
          <w:sz w:val="22"/>
          <w:szCs w:val="22"/>
        </w:rPr>
        <w:t xml:space="preserve">McCoy v.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Feinman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>, 99 N.Y.2d 295, 785 N.E.2d 714, 755 N.Y.S.2d 693 (2002).</w:t>
      </w:r>
    </w:p>
  </w:footnote>
  <w:footnote w:id="6">
    <w:p w14:paraId="6AFDC9C4" w14:textId="77777777" w:rsidR="00713FB5" w:rsidRPr="00CD1691" w:rsidRDefault="00713FB5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CD169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D169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Kazel</w:t>
      </w:r>
      <w:proofErr w:type="spellEnd"/>
      <w:r w:rsidRPr="00CD1691">
        <w:rPr>
          <w:rFonts w:ascii="Times New Roman" w:hAnsi="Times New Roman" w:cs="Times New Roman"/>
          <w:i/>
          <w:sz w:val="22"/>
          <w:szCs w:val="22"/>
        </w:rPr>
        <w:t xml:space="preserve"> v.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Kazel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 xml:space="preserve">, 3 N.Y.3d 331, 819 N.E.2d 1036, 786 N.Y.S.2d 420 (2004);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Lauzonis</w:t>
      </w:r>
      <w:proofErr w:type="spellEnd"/>
      <w:r w:rsidRPr="00CD1691">
        <w:rPr>
          <w:rFonts w:ascii="Times New Roman" w:hAnsi="Times New Roman" w:cs="Times New Roman"/>
          <w:i/>
          <w:sz w:val="22"/>
          <w:szCs w:val="22"/>
        </w:rPr>
        <w:t xml:space="preserve"> v.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Lauzonis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>, 105 A.D.3d 1351, 964 N.Y.S.2d 796 (4</w:t>
      </w:r>
      <w:r w:rsidRPr="00CD1691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CD1691">
        <w:rPr>
          <w:rFonts w:ascii="Times New Roman" w:hAnsi="Times New Roman" w:cs="Times New Roman"/>
          <w:sz w:val="22"/>
          <w:szCs w:val="22"/>
        </w:rPr>
        <w:t xml:space="preserve"> Dep’t 2013); </w:t>
      </w:r>
      <w:r w:rsidRPr="00CD1691">
        <w:rPr>
          <w:rFonts w:ascii="Times New Roman" w:hAnsi="Times New Roman" w:cs="Times New Roman"/>
          <w:i/>
          <w:sz w:val="22"/>
          <w:szCs w:val="22"/>
        </w:rPr>
        <w:t>Von Buren v. Von Buren</w:t>
      </w:r>
      <w:r w:rsidRPr="00CD1691">
        <w:rPr>
          <w:rFonts w:ascii="Times New Roman" w:hAnsi="Times New Roman" w:cs="Times New Roman"/>
          <w:sz w:val="22"/>
          <w:szCs w:val="22"/>
        </w:rPr>
        <w:t>, 252 A.D.2d 950, 675 N.Y.S.2d 739 (4</w:t>
      </w:r>
      <w:r w:rsidRPr="00CD1691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CD169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D1691">
        <w:rPr>
          <w:rFonts w:ascii="Times New Roman" w:hAnsi="Times New Roman" w:cs="Times New Roman"/>
          <w:sz w:val="22"/>
          <w:szCs w:val="22"/>
        </w:rPr>
        <w:t>Dep’t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 xml:space="preserve"> 1998);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Janofsky</w:t>
      </w:r>
      <w:proofErr w:type="spellEnd"/>
      <w:r w:rsidRPr="00CD1691">
        <w:rPr>
          <w:rFonts w:ascii="Times New Roman" w:hAnsi="Times New Roman" w:cs="Times New Roman"/>
          <w:i/>
          <w:sz w:val="22"/>
          <w:szCs w:val="22"/>
        </w:rPr>
        <w:t xml:space="preserve"> v.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Janofsky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>, 232 A.D.2d 457, 648 N.Y.S.2d 164 (2d Dep’t 1996).</w:t>
      </w:r>
    </w:p>
  </w:footnote>
  <w:footnote w:id="7">
    <w:p w14:paraId="25325652" w14:textId="77777777" w:rsidR="00CC3536" w:rsidRPr="00CD1691" w:rsidRDefault="00CC3536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CD169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D169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Gursky</w:t>
      </w:r>
      <w:proofErr w:type="spellEnd"/>
      <w:r w:rsidRPr="00CD1691">
        <w:rPr>
          <w:rFonts w:ascii="Times New Roman" w:hAnsi="Times New Roman" w:cs="Times New Roman"/>
          <w:i/>
          <w:sz w:val="22"/>
          <w:szCs w:val="22"/>
        </w:rPr>
        <w:t xml:space="preserve"> v.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Gursky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 xml:space="preserve">, 93 A.D.3d 1127, 941 N.Y.S.2d 760 (3d </w:t>
      </w:r>
      <w:proofErr w:type="spellStart"/>
      <w:r w:rsidRPr="00CD1691">
        <w:rPr>
          <w:rFonts w:ascii="Times New Roman" w:hAnsi="Times New Roman" w:cs="Times New Roman"/>
          <w:sz w:val="22"/>
          <w:szCs w:val="22"/>
        </w:rPr>
        <w:t>Dep’t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 xml:space="preserve"> 2012);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Stachowski</w:t>
      </w:r>
      <w:proofErr w:type="spellEnd"/>
      <w:r w:rsidRPr="00CD1691">
        <w:rPr>
          <w:rFonts w:ascii="Times New Roman" w:hAnsi="Times New Roman" w:cs="Times New Roman"/>
          <w:i/>
          <w:sz w:val="22"/>
          <w:szCs w:val="22"/>
        </w:rPr>
        <w:t xml:space="preserve"> v.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Stachowski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>, 35 A.D.3d 1245, 825 N.Y.S.2d 416 (Mem.) (4</w:t>
      </w:r>
      <w:r w:rsidRPr="00CD1691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CD1691">
        <w:rPr>
          <w:rFonts w:ascii="Times New Roman" w:hAnsi="Times New Roman" w:cs="Times New Roman"/>
          <w:sz w:val="22"/>
          <w:szCs w:val="22"/>
        </w:rPr>
        <w:t xml:space="preserve"> Dep’t 2006).</w:t>
      </w:r>
    </w:p>
  </w:footnote>
  <w:footnote w:id="8">
    <w:p w14:paraId="172653D8" w14:textId="77777777" w:rsidR="00CC3536" w:rsidRPr="00CD1691" w:rsidRDefault="00CC3536">
      <w:pPr>
        <w:pStyle w:val="FootnoteText"/>
        <w:rPr>
          <w:rFonts w:ascii="Times New Roman" w:hAnsi="Times New Roman" w:cs="Times New Roman"/>
          <w:sz w:val="22"/>
          <w:szCs w:val="22"/>
        </w:rPr>
      </w:pPr>
      <w:r w:rsidRPr="00CD169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D1691">
        <w:rPr>
          <w:rFonts w:ascii="Times New Roman" w:hAnsi="Times New Roman" w:cs="Times New Roman"/>
          <w:sz w:val="22"/>
          <w:szCs w:val="22"/>
        </w:rPr>
        <w:t xml:space="preserve"> Greenberg writes that it is prudent to be explicit about any refund of employee contributions.</w:t>
      </w:r>
    </w:p>
  </w:footnote>
  <w:footnote w:id="9">
    <w:p w14:paraId="346B46F5" w14:textId="77777777" w:rsidR="00CC3536" w:rsidRPr="00CD1691" w:rsidRDefault="00CC3536">
      <w:pPr>
        <w:pStyle w:val="FootnoteText"/>
        <w:rPr>
          <w:sz w:val="22"/>
          <w:szCs w:val="22"/>
        </w:rPr>
      </w:pPr>
      <w:r w:rsidRPr="00CD169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D1691">
        <w:rPr>
          <w:rFonts w:ascii="Times New Roman" w:hAnsi="Times New Roman" w:cs="Times New Roman"/>
          <w:sz w:val="22"/>
          <w:szCs w:val="22"/>
        </w:rPr>
        <w:t xml:space="preserve"> </w:t>
      </w:r>
      <w:r w:rsidRPr="00CD1691">
        <w:rPr>
          <w:rFonts w:ascii="Times New Roman" w:hAnsi="Times New Roman" w:cs="Times New Roman"/>
          <w:i/>
          <w:sz w:val="22"/>
          <w:szCs w:val="22"/>
        </w:rPr>
        <w:t>Kraus v. Kraus</w:t>
      </w:r>
      <w:r w:rsidRPr="00CD1691">
        <w:rPr>
          <w:rFonts w:ascii="Times New Roman" w:hAnsi="Times New Roman" w:cs="Times New Roman"/>
          <w:sz w:val="22"/>
          <w:szCs w:val="22"/>
        </w:rPr>
        <w:t>, 131 A.D.3d 94, 14 N.Y.S.3d 55 (2d Dep’t 2015).</w:t>
      </w:r>
    </w:p>
  </w:footnote>
  <w:footnote w:id="10">
    <w:p w14:paraId="128DF568" w14:textId="77777777" w:rsidR="009379C2" w:rsidRPr="009379C2" w:rsidRDefault="009379C2">
      <w:pPr>
        <w:pStyle w:val="FootnoteText"/>
        <w:rPr>
          <w:rFonts w:ascii="Times New Roman" w:hAnsi="Times New Roman" w:cs="Times New Roman"/>
        </w:rPr>
      </w:pPr>
      <w:r w:rsidRPr="00CD1691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CD1691">
        <w:rPr>
          <w:rFonts w:ascii="Times New Roman" w:hAnsi="Times New Roman" w:cs="Times New Roman"/>
          <w:sz w:val="22"/>
          <w:szCs w:val="22"/>
        </w:rPr>
        <w:t xml:space="preserve"> </w:t>
      </w:r>
      <w:r w:rsidRPr="00CD1691">
        <w:rPr>
          <w:rFonts w:ascii="Times New Roman" w:hAnsi="Times New Roman" w:cs="Times New Roman"/>
          <w:i/>
          <w:sz w:val="22"/>
          <w:szCs w:val="22"/>
        </w:rPr>
        <w:t>Twiss v. Twiss</w:t>
      </w:r>
      <w:r w:rsidRPr="00CD1691">
        <w:rPr>
          <w:rFonts w:ascii="Times New Roman" w:hAnsi="Times New Roman" w:cs="Times New Roman"/>
          <w:sz w:val="22"/>
          <w:szCs w:val="22"/>
        </w:rPr>
        <w:t xml:space="preserve">, 245 A.D.2d 502, 666 N.Y.S.2d 35 (2d </w:t>
      </w:r>
      <w:proofErr w:type="spellStart"/>
      <w:r w:rsidRPr="00CD1691">
        <w:rPr>
          <w:rFonts w:ascii="Times New Roman" w:hAnsi="Times New Roman" w:cs="Times New Roman"/>
          <w:sz w:val="22"/>
          <w:szCs w:val="22"/>
        </w:rPr>
        <w:t>Dep’t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 xml:space="preserve"> 1997);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Altner</w:t>
      </w:r>
      <w:proofErr w:type="spellEnd"/>
      <w:r w:rsidRPr="00CD1691">
        <w:rPr>
          <w:rFonts w:ascii="Times New Roman" w:hAnsi="Times New Roman" w:cs="Times New Roman"/>
          <w:i/>
          <w:sz w:val="22"/>
          <w:szCs w:val="22"/>
        </w:rPr>
        <w:t xml:space="preserve"> v.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Altner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 xml:space="preserve">, 281 A.D.2d 379, 721 N.Y.S.2d 279 (2d </w:t>
      </w:r>
      <w:proofErr w:type="spellStart"/>
      <w:r w:rsidRPr="00CD1691">
        <w:rPr>
          <w:rFonts w:ascii="Times New Roman" w:hAnsi="Times New Roman" w:cs="Times New Roman"/>
          <w:sz w:val="22"/>
          <w:szCs w:val="22"/>
        </w:rPr>
        <w:t>Dep’t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 xml:space="preserve"> 2001);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McWade</w:t>
      </w:r>
      <w:proofErr w:type="spellEnd"/>
      <w:r w:rsidRPr="00CD1691">
        <w:rPr>
          <w:rFonts w:ascii="Times New Roman" w:hAnsi="Times New Roman" w:cs="Times New Roman"/>
          <w:i/>
          <w:sz w:val="22"/>
          <w:szCs w:val="22"/>
        </w:rPr>
        <w:t xml:space="preserve"> v. </w:t>
      </w:r>
      <w:proofErr w:type="spellStart"/>
      <w:r w:rsidRPr="00CD1691">
        <w:rPr>
          <w:rFonts w:ascii="Times New Roman" w:hAnsi="Times New Roman" w:cs="Times New Roman"/>
          <w:i/>
          <w:sz w:val="22"/>
          <w:szCs w:val="22"/>
        </w:rPr>
        <w:t>McWade</w:t>
      </w:r>
      <w:proofErr w:type="spellEnd"/>
      <w:r w:rsidRPr="00CD1691">
        <w:rPr>
          <w:rFonts w:ascii="Times New Roman" w:hAnsi="Times New Roman" w:cs="Times New Roman"/>
          <w:sz w:val="22"/>
          <w:szCs w:val="22"/>
        </w:rPr>
        <w:t>, 253 A.D.2d 798, 677 N.Y.S.2d 596 (2d Dep’t 1998).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96D85" w14:textId="666832CB" w:rsidR="002401E3" w:rsidRPr="00083857" w:rsidRDefault="002401E3" w:rsidP="00083857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2401E3">
      <w:rPr>
        <w:rFonts w:ascii="Times New Roman" w:hAnsi="Times New Roman" w:cs="Times New Roman"/>
        <w:b/>
        <w:bCs/>
        <w:sz w:val="28"/>
        <w:szCs w:val="28"/>
      </w:rPr>
      <w:t>Silent Defaults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76163"/>
    <w:multiLevelType w:val="hybridMultilevel"/>
    <w:tmpl w:val="964E97C0"/>
    <w:lvl w:ilvl="0" w:tplc="CAF6FD3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E24C7"/>
    <w:multiLevelType w:val="hybridMultilevel"/>
    <w:tmpl w:val="3B7A1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73592"/>
    <w:multiLevelType w:val="hybridMultilevel"/>
    <w:tmpl w:val="D80CF220"/>
    <w:lvl w:ilvl="0" w:tplc="70DE8E4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4011C"/>
    <w:multiLevelType w:val="hybridMultilevel"/>
    <w:tmpl w:val="F6D4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C7B6F"/>
    <w:multiLevelType w:val="hybridMultilevel"/>
    <w:tmpl w:val="9C304B80"/>
    <w:lvl w:ilvl="0" w:tplc="64323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046444">
    <w:abstractNumId w:val="1"/>
  </w:num>
  <w:num w:numId="2" w16cid:durableId="249703168">
    <w:abstractNumId w:val="3"/>
  </w:num>
  <w:num w:numId="3" w16cid:durableId="729614203">
    <w:abstractNumId w:val="4"/>
  </w:num>
  <w:num w:numId="4" w16cid:durableId="78790025">
    <w:abstractNumId w:val="0"/>
  </w:num>
  <w:num w:numId="5" w16cid:durableId="1812405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E6C"/>
    <w:rsid w:val="00083857"/>
    <w:rsid w:val="000B0284"/>
    <w:rsid w:val="000D4A23"/>
    <w:rsid w:val="000E0011"/>
    <w:rsid w:val="0012394A"/>
    <w:rsid w:val="00155987"/>
    <w:rsid w:val="001E3B2C"/>
    <w:rsid w:val="002401E3"/>
    <w:rsid w:val="00282D92"/>
    <w:rsid w:val="003323F2"/>
    <w:rsid w:val="003E2766"/>
    <w:rsid w:val="00432F7C"/>
    <w:rsid w:val="004B3519"/>
    <w:rsid w:val="004C4DCD"/>
    <w:rsid w:val="00516742"/>
    <w:rsid w:val="0054179E"/>
    <w:rsid w:val="006C4450"/>
    <w:rsid w:val="00713FB5"/>
    <w:rsid w:val="008E0044"/>
    <w:rsid w:val="008E2011"/>
    <w:rsid w:val="009379C2"/>
    <w:rsid w:val="00A235D6"/>
    <w:rsid w:val="00AE0F74"/>
    <w:rsid w:val="00B507F9"/>
    <w:rsid w:val="00C81F20"/>
    <w:rsid w:val="00C95E63"/>
    <w:rsid w:val="00CC3536"/>
    <w:rsid w:val="00CD1691"/>
    <w:rsid w:val="00D00E6C"/>
    <w:rsid w:val="00D356D7"/>
    <w:rsid w:val="00DC2B25"/>
    <w:rsid w:val="00E25B30"/>
    <w:rsid w:val="00ED0C72"/>
    <w:rsid w:val="00FD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47C59"/>
  <w15:docId w15:val="{636D0E13-F6DD-4218-98B9-C838D754F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D00E6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0E6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00E6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E3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B2C"/>
  </w:style>
  <w:style w:type="paragraph" w:styleId="Footer">
    <w:name w:val="footer"/>
    <w:basedOn w:val="Normal"/>
    <w:link w:val="FooterChar"/>
    <w:uiPriority w:val="99"/>
    <w:unhideWhenUsed/>
    <w:rsid w:val="001E3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B2C"/>
  </w:style>
  <w:style w:type="paragraph" w:styleId="FootnoteText">
    <w:name w:val="footnote text"/>
    <w:basedOn w:val="Normal"/>
    <w:link w:val="FootnoteTextChar"/>
    <w:uiPriority w:val="99"/>
    <w:semiHidden/>
    <w:unhideWhenUsed/>
    <w:rsid w:val="001559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59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59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2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A1ED1-871F-48BB-8B5B-F9EC4540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Legal Services NYC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Dagg</dc:creator>
  <cp:lastModifiedBy>Chris Dagg</cp:lastModifiedBy>
  <cp:revision>2</cp:revision>
  <dcterms:created xsi:type="dcterms:W3CDTF">2022-12-26T11:44:00Z</dcterms:created>
  <dcterms:modified xsi:type="dcterms:W3CDTF">2022-12-26T11:44:00Z</dcterms:modified>
</cp:coreProperties>
</file>